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726E0CC" w14:textId="77777777" w:rsidR="00FC36C1" w:rsidRDefault="00FC36C1"/>
    <w:p w14:paraId="598ADED4" w14:textId="7BB5F2C3" w:rsidR="00806BD3" w:rsidRPr="0076698A" w:rsidRDefault="0076698A" w:rsidP="008E42E0">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center"/>
        <w:rPr>
          <w:rFonts w:ascii="Calibri" w:hAnsi="Calibri"/>
          <w:b/>
          <w:bCs/>
          <w:sz w:val="32"/>
          <w:szCs w:val="32"/>
        </w:rPr>
      </w:pPr>
      <w:r>
        <w:rPr>
          <w:rFonts w:ascii="Calibri" w:hAnsi="Calibri"/>
          <w:b/>
          <w:bCs/>
          <w:sz w:val="32"/>
          <w:szCs w:val="32"/>
        </w:rPr>
        <w:t>Avis sur le</w:t>
      </w:r>
      <w:r w:rsidR="008E42E0">
        <w:rPr>
          <w:rFonts w:ascii="Calibri" w:hAnsi="Calibri"/>
          <w:b/>
          <w:bCs/>
          <w:sz w:val="32"/>
          <w:szCs w:val="32"/>
        </w:rPr>
        <w:t xml:space="preserve"> bilan social 2021</w:t>
      </w:r>
    </w:p>
    <w:p w14:paraId="7BC4F1E7" w14:textId="035EA4F0" w:rsidR="00056E9D" w:rsidRPr="008E42E0" w:rsidRDefault="00056E9D" w:rsidP="007A6628">
      <w:pPr>
        <w:jc w:val="both"/>
        <w:rPr>
          <w:b/>
          <w:bCs/>
          <w:i/>
          <w:iCs/>
          <w:u w:val="single"/>
        </w:rPr>
      </w:pPr>
    </w:p>
    <w:p w14:paraId="070F9D45" w14:textId="4C99CA07" w:rsidR="009D33AB" w:rsidRDefault="008E42E0" w:rsidP="00537C22">
      <w:pPr>
        <w:jc w:val="both"/>
      </w:pPr>
      <w:r>
        <w:t>Les élus tiennent tout d’abord à saluer le travail des équipes RH du département aidées par les collègues du CSRH pour l’élaboration de ce bilan social, mais rappelons que le contenu du document présenté a subi une cure d’amaigrissement. En effet, il y a quelques mois la direction décidait unilatéralement de revoir bon nombre d’indicateurs pour répondre au minimum au code du travail. Pour une fois,</w:t>
      </w:r>
      <w:r w:rsidR="00B10BD4">
        <w:t xml:space="preserve"> nous n’avons pas besoin de vous alerter pour que ce dernier soit respecté. Cette cure d’amaigrissement s’est soldée par 16 tableaux dénoncés, 8 ajoutés et 3 qui ont été modifiés. </w:t>
      </w:r>
    </w:p>
    <w:p w14:paraId="13558B1A" w14:textId="77777777" w:rsidR="009D33AB" w:rsidRDefault="009D33AB" w:rsidP="00537C22">
      <w:pPr>
        <w:jc w:val="both"/>
      </w:pPr>
    </w:p>
    <w:p w14:paraId="04B4BE99" w14:textId="7C7C8D91" w:rsidR="00885B91" w:rsidRDefault="009D33AB" w:rsidP="00537C22">
      <w:pPr>
        <w:jc w:val="both"/>
      </w:pPr>
      <w:r>
        <w:t>L</w:t>
      </w:r>
      <w:r w:rsidR="00B10BD4">
        <w:t>e bilan social est décomposé en 7 chapitres. Concernant les effectifs administrés, ils sont en hausse en comparaison avec l’année 2020. Mais à y regarder de plus près, les</w:t>
      </w:r>
      <w:r w:rsidR="008646E5">
        <w:t xml:space="preserve"> agents</w:t>
      </w:r>
      <w:r w:rsidR="00B10BD4">
        <w:t xml:space="preserve"> statutaires,</w:t>
      </w:r>
      <w:r w:rsidR="008646E5">
        <w:t xml:space="preserve"> entre autres</w:t>
      </w:r>
      <w:r w:rsidR="00B10BD4">
        <w:t xml:space="preserve"> les cadres voient leurs effectifs augmenter, par contre les agents de maîtrise (AM) et les opérateurs sont en baisse. Cette tendance n’est pas une surprise et modélise sûrement notre département de demain. Inexplicable que notre département laisse tomber son savoir-faire terrain, est-ce cela le futur cœur de métier de RATP I ? Les élus se félicitent de recevoir des collègues mais nous nous interrogeons </w:t>
      </w:r>
      <w:r w:rsidR="008646E5">
        <w:t>des opérationnels de</w:t>
      </w:r>
      <w:r w:rsidR="00B10BD4">
        <w:t xml:space="preserve"> terrain</w:t>
      </w:r>
      <w:r w:rsidR="00885B91">
        <w:t xml:space="preserve"> tellement la pénurie d’effectifs des opérateurs et maintenant des maîtrises s’accentue. Et ce n’est certainement pas le futur déroulement de carrière des AM qui va « créer des vocations ». </w:t>
      </w:r>
    </w:p>
    <w:p w14:paraId="2793DF6A" w14:textId="77777777" w:rsidR="00885B91" w:rsidRDefault="00885B91" w:rsidP="00537C22">
      <w:pPr>
        <w:jc w:val="both"/>
      </w:pPr>
    </w:p>
    <w:p w14:paraId="7B27576C" w14:textId="324DFA69" w:rsidR="003F2920" w:rsidRDefault="00885B91" w:rsidP="00537C22">
      <w:pPr>
        <w:jc w:val="both"/>
      </w:pPr>
      <w:r>
        <w:t xml:space="preserve">Les contrats de travail en CDI augmentent significativement en 2021, </w:t>
      </w:r>
      <w:r w:rsidR="008646E5">
        <w:t xml:space="preserve">idem pour </w:t>
      </w:r>
      <w:r>
        <w:t xml:space="preserve">les CDD, particulièrement les alternants. </w:t>
      </w:r>
    </w:p>
    <w:p w14:paraId="7D6B1F29" w14:textId="119752D2" w:rsidR="00885B91" w:rsidRDefault="00885B91" w:rsidP="00537C22">
      <w:pPr>
        <w:jc w:val="both"/>
      </w:pPr>
    </w:p>
    <w:p w14:paraId="7550FD8E" w14:textId="25CD5A35" w:rsidR="00885B91" w:rsidRDefault="00885B91" w:rsidP="00537C22">
      <w:pPr>
        <w:jc w:val="both"/>
      </w:pPr>
      <w:r>
        <w:t>La physionomie du département en 2021 est de 88 % d</w:t>
      </w:r>
      <w:r w:rsidR="008646E5">
        <w:t>’agents sous statut</w:t>
      </w:r>
      <w:r>
        <w:t xml:space="preserve"> et de 12 % pour les contractuels. Un point positif, le nombre de femmes augmente, soit + 14. </w:t>
      </w:r>
    </w:p>
    <w:p w14:paraId="18D32351" w14:textId="76FE8C2D" w:rsidR="00885B91" w:rsidRDefault="00885B91" w:rsidP="00537C22">
      <w:pPr>
        <w:jc w:val="both"/>
      </w:pPr>
    </w:p>
    <w:p w14:paraId="1E548B91" w14:textId="03BF42C2" w:rsidR="00885B91" w:rsidRDefault="00885B91" w:rsidP="00537C22">
      <w:pPr>
        <w:jc w:val="both"/>
      </w:pPr>
      <w:r>
        <w:t>Autre information, nous avons une population qui a tendance à vieillir avec une fourchette 49/56</w:t>
      </w:r>
      <w:r w:rsidR="008646E5">
        <w:t xml:space="preserve"> ans</w:t>
      </w:r>
      <w:r>
        <w:t xml:space="preserve"> en hausse, celle des 26/45</w:t>
      </w:r>
      <w:r w:rsidR="008646E5">
        <w:t xml:space="preserve"> ans</w:t>
      </w:r>
      <w:r>
        <w:t xml:space="preserve"> qui baisse</w:t>
      </w:r>
      <w:r w:rsidR="0024418D">
        <w:t xml:space="preserve">. </w:t>
      </w:r>
    </w:p>
    <w:p w14:paraId="19BEFDED" w14:textId="4F201FC0" w:rsidR="0024418D" w:rsidRDefault="0024418D" w:rsidP="00537C22">
      <w:pPr>
        <w:jc w:val="both"/>
      </w:pPr>
    </w:p>
    <w:p w14:paraId="1E6EDA80" w14:textId="4B6FB1B2" w:rsidR="0024418D" w:rsidRDefault="0024418D" w:rsidP="00537C22">
      <w:pPr>
        <w:jc w:val="both"/>
      </w:pPr>
      <w:r>
        <w:t xml:space="preserve">Malgré un cadre imposé par l’entreprise, nous ne comprenons toujours pas l’intérêt de nous présenter l’indicateur 118. </w:t>
      </w:r>
    </w:p>
    <w:p w14:paraId="1700CD83" w14:textId="14D8D7E2" w:rsidR="0024418D" w:rsidRDefault="0024418D" w:rsidP="00537C22">
      <w:pPr>
        <w:jc w:val="both"/>
      </w:pPr>
    </w:p>
    <w:p w14:paraId="5DDEC2E8" w14:textId="723CA9B9" w:rsidR="0024418D" w:rsidRDefault="0024418D" w:rsidP="00537C22">
      <w:pPr>
        <w:jc w:val="both"/>
      </w:pPr>
      <w:r>
        <w:t>2021 est marquée par une durée moyenne des contrats de travail temporaires qui sont de plus en plus longs, ceci ne servirait-il pas à pallier au manque d’effectif ?</w:t>
      </w:r>
    </w:p>
    <w:p w14:paraId="1C481FE9" w14:textId="15FCF14F" w:rsidR="0024418D" w:rsidRDefault="0024418D" w:rsidP="00537C22">
      <w:pPr>
        <w:jc w:val="both"/>
      </w:pPr>
    </w:p>
    <w:p w14:paraId="23C21800" w14:textId="754E4EE2" w:rsidR="0024418D" w:rsidRDefault="0024418D" w:rsidP="00537C22">
      <w:pPr>
        <w:jc w:val="both"/>
      </w:pPr>
      <w:r>
        <w:t xml:space="preserve">Le nombre d’embauche reste similaire à celui de l’année précédente mais nous constatons une hausse marquée pour les contractuels, idem pour les CDD et les apprentis. Concernant cette dernière catégorie, nous nous satisfaisons de permettre à des personnes de débuter dans la vie active, dommage que les opérateurs soient si peu nombreux. </w:t>
      </w:r>
    </w:p>
    <w:p w14:paraId="58352325" w14:textId="099223C7" w:rsidR="0024418D" w:rsidRDefault="0024418D" w:rsidP="00537C22">
      <w:pPr>
        <w:jc w:val="both"/>
      </w:pPr>
    </w:p>
    <w:p w14:paraId="7B4D5848" w14:textId="20AF1536" w:rsidR="008646E5" w:rsidRDefault="008646E5" w:rsidP="00537C22">
      <w:pPr>
        <w:jc w:val="both"/>
        <w:sectPr w:rsidR="008646E5" w:rsidSect="00A11DDD">
          <w:headerReference w:type="default" r:id="rId7"/>
          <w:footerReference w:type="default" r:id="rId8"/>
          <w:pgSz w:w="11900" w:h="16840"/>
          <w:pgMar w:top="1417" w:right="1417" w:bottom="1417" w:left="1417" w:header="708" w:footer="708" w:gutter="0"/>
          <w:cols w:space="708"/>
          <w:docGrid w:linePitch="360"/>
        </w:sectPr>
      </w:pPr>
    </w:p>
    <w:p w14:paraId="7BF85E3E" w14:textId="77777777" w:rsidR="00F60856" w:rsidRDefault="00F60856" w:rsidP="00537C22">
      <w:pPr>
        <w:jc w:val="both"/>
      </w:pPr>
    </w:p>
    <w:p w14:paraId="46733AE5" w14:textId="7EA0DAD7" w:rsidR="0024418D" w:rsidRDefault="00F60856" w:rsidP="00537C22">
      <w:pPr>
        <w:jc w:val="both"/>
      </w:pPr>
      <w:r>
        <w:t xml:space="preserve">Le nombre de départ a augmenté, surtout les départs en retraite. Le cycle de départ peut apparaître normal et anodin, mais les annonces du gouvernement fraîchement élu pourrait comme en 2008 accélérer ce phénomène et mettre les collectifs de travail en rupture dû aux </w:t>
      </w:r>
      <w:r w:rsidR="0024418D">
        <w:t>effectifs</w:t>
      </w:r>
      <w:r w:rsidR="0069465A">
        <w:t xml:space="preserve"> </w:t>
      </w:r>
      <w:r w:rsidR="001E5CD5">
        <w:t xml:space="preserve">déjà très </w:t>
      </w:r>
      <w:r w:rsidR="0069465A">
        <w:t xml:space="preserve">tendus voire en sous-effectifs avec des conséquences irrémédiables de perte des connaissances techniques et des compétences. </w:t>
      </w:r>
    </w:p>
    <w:p w14:paraId="205F632F" w14:textId="77777777" w:rsidR="0024418D" w:rsidRDefault="0024418D" w:rsidP="00537C22">
      <w:pPr>
        <w:jc w:val="both"/>
      </w:pPr>
    </w:p>
    <w:p w14:paraId="61626817" w14:textId="361C8C4B" w:rsidR="001E5CD5" w:rsidRDefault="001E5CD5" w:rsidP="008646E5">
      <w:pPr>
        <w:jc w:val="both"/>
      </w:pPr>
      <w:r>
        <w:t xml:space="preserve">L’autre point de vigilance est la hausse continue des démissions. Peu importe les raisons, ce phénomène est plutôt récent dans notre département. </w:t>
      </w:r>
    </w:p>
    <w:p w14:paraId="11564833" w14:textId="77777777" w:rsidR="001E5CD5" w:rsidRDefault="001E5CD5" w:rsidP="008646E5">
      <w:pPr>
        <w:jc w:val="both"/>
      </w:pPr>
    </w:p>
    <w:p w14:paraId="276CD064" w14:textId="6859C210" w:rsidR="008646E5" w:rsidRDefault="008646E5" w:rsidP="008646E5">
      <w:pPr>
        <w:jc w:val="both"/>
      </w:pPr>
      <w:r>
        <w:t xml:space="preserve">Nous pourrions nous satisfaire de l’indicateur 151 mais </w:t>
      </w:r>
      <w:r w:rsidR="001E5CD5">
        <w:t xml:space="preserve">comptabiliser des promotions d’une même catégorie, opérateur vers technicien est contraire au libellé qui stipule </w:t>
      </w:r>
      <w:r>
        <w:t xml:space="preserve">un avancement dans une catégorie supérieure. Il n’y a donc que 27 promotions sur l’année 2021. </w:t>
      </w:r>
    </w:p>
    <w:p w14:paraId="14835D07" w14:textId="77777777" w:rsidR="008646E5" w:rsidRDefault="008646E5" w:rsidP="008646E5">
      <w:pPr>
        <w:jc w:val="both"/>
      </w:pPr>
    </w:p>
    <w:p w14:paraId="0E94A113" w14:textId="77777777" w:rsidR="008646E5" w:rsidRDefault="008646E5" w:rsidP="008646E5">
      <w:pPr>
        <w:jc w:val="both"/>
      </w:pPr>
      <w:r>
        <w:t xml:space="preserve">Nous alertons également sur l’augmentation du nombre de salariés en situation de handicap suite à un accident du travail. Logiquement, ce nombre devrait baisser dans les années à venir, le projet SCORE devant produire ses effets. </w:t>
      </w:r>
    </w:p>
    <w:p w14:paraId="76F40CF9" w14:textId="77777777" w:rsidR="008646E5" w:rsidRDefault="008646E5" w:rsidP="008646E5">
      <w:pPr>
        <w:jc w:val="both"/>
      </w:pPr>
    </w:p>
    <w:p w14:paraId="0BA299B5" w14:textId="2DBDF83C" w:rsidR="008646E5" w:rsidRDefault="008646E5" w:rsidP="008646E5">
      <w:pPr>
        <w:jc w:val="both"/>
      </w:pPr>
      <w:r>
        <w:t xml:space="preserve">Si le nombre de jours d’absence total diminue, cela n’est pas dû aux encadrants. La charge de travail supplémentaire, les inquiétudes, la pression systématique amène les encadrants et surtout les cadres à se mettre en arrêt. Ce chiffre devrait inquiéter la direction car un des enjeux pour mener à bien la baisse des AT entre autres est d’avoir des encadrants qui travaillent dans un climat serein. Malheureusement, les chiffres </w:t>
      </w:r>
      <w:r w:rsidR="001E5CD5">
        <w:t>prouvent</w:t>
      </w:r>
      <w:r>
        <w:t xml:space="preserve"> le contraire. </w:t>
      </w:r>
    </w:p>
    <w:p w14:paraId="77EF61EF" w14:textId="77777777" w:rsidR="008646E5" w:rsidRDefault="008646E5" w:rsidP="008646E5">
      <w:pPr>
        <w:jc w:val="both"/>
      </w:pPr>
    </w:p>
    <w:p w14:paraId="358CFBF8" w14:textId="5F83FA23" w:rsidR="008646E5" w:rsidRDefault="008646E5" w:rsidP="008646E5">
      <w:pPr>
        <w:jc w:val="both"/>
      </w:pPr>
      <w:r>
        <w:t>Concernant la rémunération, elle stagne et le nouveau protocole déroulement carrière des encadrants ne va rien arranger</w:t>
      </w:r>
      <w:r w:rsidR="001E5CD5">
        <w:t xml:space="preserve"> sauf pour les rémunérations les plus élevées qui augmentent de 100 000 </w:t>
      </w:r>
      <w:r w:rsidR="001E5CD5">
        <w:rPr>
          <w:rFonts w:cstheme="minorHAnsi"/>
        </w:rPr>
        <w:t>€</w:t>
      </w:r>
      <w:r w:rsidR="001E5CD5">
        <w:t xml:space="preserve">. </w:t>
      </w:r>
    </w:p>
    <w:p w14:paraId="7CAB3387" w14:textId="77777777" w:rsidR="008646E5" w:rsidRDefault="008646E5" w:rsidP="008646E5">
      <w:pPr>
        <w:jc w:val="both"/>
      </w:pPr>
    </w:p>
    <w:p w14:paraId="4EE4CB76" w14:textId="665781DC" w:rsidR="008646E5" w:rsidRDefault="008646E5" w:rsidP="008646E5">
      <w:pPr>
        <w:jc w:val="both"/>
      </w:pPr>
      <w:r>
        <w:t xml:space="preserve">Au chapitre de la santé et de la sécurité au travail, cette année on constate une hausse du taux de fréquence sur la plupart des unités, malgré une baisse des AT qui passe de 288 en 2020 à 261 en 2021. La baisse la plus significative est celle de la Voie qui passe de 75,38 % à 69,22 % soit moins 6,19 % sur 12 mois glissants. Mais malgré cette baisse, il n’y a pas de quoi  se pavaner. L’unité Voie est celle qui génère le plus d’AT dans le département. </w:t>
      </w:r>
    </w:p>
    <w:p w14:paraId="3A5E4CCD" w14:textId="77777777" w:rsidR="008646E5" w:rsidRDefault="008646E5" w:rsidP="008646E5">
      <w:pPr>
        <w:jc w:val="both"/>
      </w:pPr>
      <w:r>
        <w:t xml:space="preserve">Les risques générant le plus d’AT sont toujours la manutention et la chute de plain-pied. On attendait depuis des années que l’entreprise mette enfin en place une vraie politique de prévention digne de ce nom surtout avec l’implication de la ligne managériale, ce que le département a mis en place mais malheureusement cela ne porte pas encore ces fruits. La prévention, c’est un combat permanent de tous les jours. </w:t>
      </w:r>
    </w:p>
    <w:p w14:paraId="2E5C628C" w14:textId="7558DD68" w:rsidR="00917CFF" w:rsidRDefault="00917CFF" w:rsidP="00917CFF">
      <w:pPr>
        <w:jc w:val="both"/>
      </w:pPr>
      <w:r>
        <w:t xml:space="preserve">Le taux de fréquence global RATP Infras : 27,62 % en 2020 et 28,34 % en 2021. </w:t>
      </w:r>
    </w:p>
    <w:p w14:paraId="6D32DEE8" w14:textId="4C27D11B" w:rsidR="00917CFF" w:rsidRDefault="00917CFF" w:rsidP="00917CFF">
      <w:pPr>
        <w:jc w:val="both"/>
      </w:pPr>
      <w:r>
        <w:t xml:space="preserve">Avec un tel taux de fréquence, la direction n’est pas encore prête à atteindre l’objectif qu’elle s’est fixé pour 2025 soit 5 %. </w:t>
      </w:r>
    </w:p>
    <w:p w14:paraId="2358F11C" w14:textId="77777777" w:rsidR="00F60856" w:rsidRDefault="00F60856" w:rsidP="00917CFF">
      <w:pPr>
        <w:jc w:val="both"/>
      </w:pPr>
    </w:p>
    <w:p w14:paraId="1545A07E" w14:textId="5E6A291A" w:rsidR="00917CFF" w:rsidRDefault="00917CFF" w:rsidP="00917CFF">
      <w:pPr>
        <w:jc w:val="both"/>
      </w:pPr>
    </w:p>
    <w:p w14:paraId="3EE7E93A" w14:textId="77777777" w:rsidR="008646E5" w:rsidRDefault="008646E5" w:rsidP="008646E5">
      <w:pPr>
        <w:jc w:val="both"/>
      </w:pPr>
    </w:p>
    <w:p w14:paraId="7E0526A5" w14:textId="77777777" w:rsidR="00004734" w:rsidRDefault="00004734" w:rsidP="008646E5">
      <w:pPr>
        <w:jc w:val="both"/>
      </w:pPr>
    </w:p>
    <w:p w14:paraId="27A1A60A" w14:textId="77777777" w:rsidR="00004734" w:rsidRDefault="00004734" w:rsidP="008646E5">
      <w:pPr>
        <w:jc w:val="both"/>
      </w:pPr>
    </w:p>
    <w:p w14:paraId="06B8C417" w14:textId="77777777" w:rsidR="00004734" w:rsidRDefault="00004734" w:rsidP="008646E5">
      <w:pPr>
        <w:jc w:val="both"/>
      </w:pPr>
    </w:p>
    <w:p w14:paraId="4103556A" w14:textId="77777777" w:rsidR="00004734" w:rsidRDefault="00004734" w:rsidP="008646E5">
      <w:pPr>
        <w:jc w:val="both"/>
      </w:pPr>
    </w:p>
    <w:p w14:paraId="7C7A5CF3" w14:textId="794757E1" w:rsidR="00004734" w:rsidRDefault="00004734" w:rsidP="008646E5">
      <w:pPr>
        <w:jc w:val="both"/>
      </w:pPr>
      <w:r>
        <w:t xml:space="preserve">Le taux de gravité global RATP Infras : 1,89 % en 2020 et 1,76 % en 2021, même si c’est une légère baisse. Elle n’est pas significative mais on peut quand même se  satisfaire que les blessures engendrées par les accidents du travail soient moins graves pour les agents. </w:t>
      </w:r>
    </w:p>
    <w:p w14:paraId="065D0EFD" w14:textId="77777777" w:rsidR="00004734" w:rsidRDefault="00004734" w:rsidP="008646E5">
      <w:pPr>
        <w:jc w:val="both"/>
      </w:pPr>
    </w:p>
    <w:p w14:paraId="61EB2D96" w14:textId="7D4CCCE3" w:rsidR="008646E5" w:rsidRPr="008D076E" w:rsidRDefault="008646E5" w:rsidP="008646E5">
      <w:pPr>
        <w:jc w:val="both"/>
      </w:pPr>
      <w:r>
        <w:t xml:space="preserve">Que dire de toutes les restructurations successives où dans la majorité des dossiers, la direction fait du moins. Quant à tous les collègues de VB qui vont devoir bientôt travailler en </w:t>
      </w:r>
      <w:proofErr w:type="spellStart"/>
      <w:r>
        <w:t>flex</w:t>
      </w:r>
      <w:proofErr w:type="spellEnd"/>
      <w:r>
        <w:t xml:space="preserve"> office, on ne peut pas dire que ce soit ce qui se fait de mieux. Même la médecine du travail confirme que ce ne sont pas des situations de travail idéales. Enfin bref, un grand saut dans l’inconnu pour une grande majorité des agents. </w:t>
      </w:r>
    </w:p>
    <w:p w14:paraId="1640B354" w14:textId="77777777" w:rsidR="008646E5" w:rsidRDefault="008646E5" w:rsidP="008646E5">
      <w:pPr>
        <w:jc w:val="both"/>
      </w:pPr>
      <w:r>
        <w:rPr>
          <w:rFonts w:cstheme="minorHAnsi"/>
        </w:rPr>
        <w:t xml:space="preserve">La prévention, c’est l’affaire de tous. Mais est-ce normal en 2021 d’avoir autant d’AT ? Les agents ne doivent plus aller travailler avec la peur de se dire aujourd’hui ça va peut-être être mon tour. </w:t>
      </w:r>
    </w:p>
    <w:p w14:paraId="4B2C5D34" w14:textId="77777777" w:rsidR="008646E5" w:rsidRPr="00EA78D0" w:rsidRDefault="008646E5" w:rsidP="008646E5">
      <w:pPr>
        <w:jc w:val="both"/>
        <w:rPr>
          <w:b/>
          <w:bCs/>
          <w:u w:val="single"/>
        </w:rPr>
      </w:pPr>
    </w:p>
    <w:p w14:paraId="00007CDF" w14:textId="5F4FD7E5" w:rsidR="008646E5" w:rsidRDefault="00366D46" w:rsidP="008646E5">
      <w:pPr>
        <w:jc w:val="both"/>
      </w:pPr>
      <w:r>
        <w:t>Dans le chapitre autres conditions de travail, c</w:t>
      </w:r>
      <w:r w:rsidR="008646E5">
        <w:t xml:space="preserve">ertains accords </w:t>
      </w:r>
      <w:r w:rsidR="00255633">
        <w:t xml:space="preserve">transversaux </w:t>
      </w:r>
      <w:r w:rsidR="008646E5">
        <w:t>ont des effets directs sur certains indicateurs,</w:t>
      </w:r>
      <w:r w:rsidR="00255633">
        <w:t xml:space="preserve"> par exemple,</w:t>
      </w:r>
      <w:r w:rsidR="008646E5">
        <w:t xml:space="preserve"> le 413 qui évoque les HV met en évidence une baisse significative sûrement due à l’accord télétravail qui ne permet pas d’y adhérer si le salarié est en HV. Espérons que cette règle va évoluer permettant à </w:t>
      </w:r>
      <w:r w:rsidR="00255633">
        <w:t xml:space="preserve">un plus grand nombre </w:t>
      </w:r>
      <w:r w:rsidR="008646E5">
        <w:t xml:space="preserve">d’adhérer au télétravail. </w:t>
      </w:r>
    </w:p>
    <w:p w14:paraId="2DC3167C" w14:textId="77777777" w:rsidR="008646E5" w:rsidRDefault="008646E5" w:rsidP="008646E5">
      <w:pPr>
        <w:jc w:val="both"/>
      </w:pPr>
    </w:p>
    <w:p w14:paraId="3042519D" w14:textId="151A56D1" w:rsidR="008646E5" w:rsidRDefault="008646E5" w:rsidP="008646E5">
      <w:pPr>
        <w:jc w:val="both"/>
      </w:pPr>
      <w:r>
        <w:t>Autre facteur à risque, le nombre de cinquantenaire</w:t>
      </w:r>
      <w:r w:rsidR="00255633">
        <w:t>s</w:t>
      </w:r>
      <w:r>
        <w:t xml:space="preserve"> et plus qui occupe un emploi à horaire de nuit ou décalé, les chiffres sont en hausse. </w:t>
      </w:r>
    </w:p>
    <w:p w14:paraId="26AEFA1C" w14:textId="77777777" w:rsidR="008646E5" w:rsidRDefault="008646E5" w:rsidP="008646E5">
      <w:pPr>
        <w:jc w:val="both"/>
      </w:pPr>
      <w:r>
        <w:t xml:space="preserve">Une réflexion devrait être diligentée pour essayer de sortir cette catégorie de personnel de la pénibilité. </w:t>
      </w:r>
    </w:p>
    <w:p w14:paraId="21BDC630" w14:textId="77777777" w:rsidR="008646E5" w:rsidRDefault="008646E5" w:rsidP="008646E5">
      <w:pPr>
        <w:jc w:val="both"/>
      </w:pPr>
    </w:p>
    <w:p w14:paraId="0868D3E4" w14:textId="741D6D71" w:rsidR="008646E5" w:rsidRDefault="008646E5" w:rsidP="008646E5">
      <w:pPr>
        <w:jc w:val="both"/>
      </w:pPr>
      <w:r>
        <w:t>Les élus attirent votre attention sur l’item 462,</w:t>
      </w:r>
      <w:r w:rsidR="00255633">
        <w:t xml:space="preserve"> qui devrait être alimenté pour le prochain bilan, la médecine du travail ayant été réorganisée dans cette période.</w:t>
      </w:r>
    </w:p>
    <w:p w14:paraId="27FC8DBA" w14:textId="408C7CA5" w:rsidR="00F60856" w:rsidRDefault="00F60856" w:rsidP="008646E5">
      <w:pPr>
        <w:jc w:val="both"/>
      </w:pPr>
      <w:r>
        <w:t xml:space="preserve">En ce qui concerne les EDC, ils ne sont pas connus des collectifs de travail, pourtant ce genre de réunion permet de désamorcer des conflits liés aux manques de matériel, à l’organisation de travail. </w:t>
      </w:r>
    </w:p>
    <w:p w14:paraId="38958B00" w14:textId="77777777" w:rsidR="008646E5" w:rsidRDefault="008646E5" w:rsidP="008646E5">
      <w:pPr>
        <w:jc w:val="both"/>
      </w:pPr>
    </w:p>
    <w:p w14:paraId="5C02492D" w14:textId="7F27F6E0" w:rsidR="008646E5" w:rsidRDefault="008646E5" w:rsidP="008646E5">
      <w:pPr>
        <w:jc w:val="both"/>
      </w:pPr>
      <w:r>
        <w:t xml:space="preserve">Concernant le bilan des formations de l’année 2021, le chiffre à retenir sera celui des réalisations du département soit 75,5 %. Un résultat bien en dessous par rapport aux années sans covid mais dans la moyenne de l’entreprise qui elle affiche 80 % de réalisation. Les contraintes sanitaires ont encore impacté fortement les formations </w:t>
      </w:r>
      <w:r w:rsidR="00F60856">
        <w:t>par le</w:t>
      </w:r>
      <w:r>
        <w:t xml:space="preserve"> système des jauges imposées, dispositif qui est maintenant levé depuis le mois de mars 2022. Le département est encore à la traîne pour les formations sécurité mais, avec l’aide de </w:t>
      </w:r>
      <w:r w:rsidR="00F60856">
        <w:t>S</w:t>
      </w:r>
      <w:r>
        <w:t xml:space="preserve">ystra, le retard sera rattrapé courant 2023. </w:t>
      </w:r>
    </w:p>
    <w:p w14:paraId="432F9589" w14:textId="77777777" w:rsidR="008646E5" w:rsidRDefault="008646E5" w:rsidP="00537C22">
      <w:pPr>
        <w:jc w:val="both"/>
      </w:pPr>
    </w:p>
    <w:p w14:paraId="097A78AA" w14:textId="1628E6FA" w:rsidR="008646E5" w:rsidRDefault="008646E5" w:rsidP="008646E5">
      <w:pPr>
        <w:jc w:val="both"/>
      </w:pPr>
      <w:r>
        <w:t xml:space="preserve">Enfin, ce bilan </w:t>
      </w:r>
      <w:r w:rsidR="00F60856">
        <w:t>relate l</w:t>
      </w:r>
      <w:r>
        <w:t xml:space="preserve">es résultats des nouvelles élections de fin 2021. Le département RATP I et ces nombreuses réorganisations sollicitent fortement les élus ce qui explique entre autres la hausse du crédit d’heure sur l’année. Il y a de forte chance que le nombre de commissions de classement soit en baisse dans le prochain bilan, le nouvel accord déroulement carrière des encadrants les met au rebus. </w:t>
      </w:r>
    </w:p>
    <w:p w14:paraId="3A73D532" w14:textId="77777777" w:rsidR="008646E5" w:rsidRDefault="008646E5" w:rsidP="008646E5">
      <w:pPr>
        <w:jc w:val="both"/>
      </w:pPr>
    </w:p>
    <w:p w14:paraId="08C6A4ED" w14:textId="0C180F75" w:rsidR="008646E5" w:rsidRDefault="008646E5" w:rsidP="008646E5">
      <w:pPr>
        <w:jc w:val="both"/>
      </w:pPr>
    </w:p>
    <w:p w14:paraId="47B1CFB2" w14:textId="77777777" w:rsidR="008646E5" w:rsidRDefault="008646E5" w:rsidP="008646E5">
      <w:pPr>
        <w:jc w:val="both"/>
      </w:pPr>
    </w:p>
    <w:p w14:paraId="66CF4EDE" w14:textId="77777777" w:rsidR="00004734" w:rsidRDefault="00004734" w:rsidP="008646E5">
      <w:pPr>
        <w:jc w:val="both"/>
      </w:pPr>
    </w:p>
    <w:p w14:paraId="6C187713" w14:textId="1215BBB8" w:rsidR="00366D46" w:rsidRDefault="00F60856" w:rsidP="008646E5">
      <w:pPr>
        <w:jc w:val="both"/>
      </w:pPr>
      <w:r>
        <w:t xml:space="preserve">Un bilan social en demi-teinte, qui reflète la morosité ambiante et souligne certains manques qui mettent individuellement et collectivement les collègues en difficulté. </w:t>
      </w:r>
    </w:p>
    <w:p w14:paraId="431C7145" w14:textId="77777777" w:rsidR="00366D46" w:rsidRDefault="00366D46" w:rsidP="008646E5">
      <w:pPr>
        <w:jc w:val="both"/>
      </w:pPr>
    </w:p>
    <w:p w14:paraId="0B79B0F7" w14:textId="7C116A00" w:rsidR="008646E5" w:rsidRDefault="008646E5" w:rsidP="008646E5">
      <w:pPr>
        <w:jc w:val="both"/>
      </w:pPr>
      <w:r>
        <w:t xml:space="preserve">Les élus du CSE RATP INFRASTRUCTURES émettent un avis défavorable sur le bilan social 2021. </w:t>
      </w:r>
    </w:p>
    <w:p w14:paraId="5686AA47" w14:textId="77777777" w:rsidR="008646E5" w:rsidRPr="00C152CF" w:rsidRDefault="008646E5" w:rsidP="008646E5">
      <w:pPr>
        <w:jc w:val="both"/>
      </w:pPr>
    </w:p>
    <w:p w14:paraId="0D57BFF4" w14:textId="77777777" w:rsidR="008646E5" w:rsidRDefault="008646E5" w:rsidP="008646E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p>
    <w:p w14:paraId="7A6BA218" w14:textId="77777777" w:rsidR="008646E5" w:rsidRPr="005A5067" w:rsidRDefault="008646E5" w:rsidP="008646E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u w:val="single"/>
        </w:rPr>
      </w:pPr>
      <w:r w:rsidRPr="005A5067">
        <w:rPr>
          <w:rFonts w:ascii="Calibri" w:hAnsi="Calibri"/>
          <w:sz w:val="24"/>
          <w:szCs w:val="24"/>
          <w:u w:val="single"/>
        </w:rPr>
        <w:t xml:space="preserve">PROCEDURE DE VOTE : </w:t>
      </w:r>
    </w:p>
    <w:p w14:paraId="0E36643D" w14:textId="77777777" w:rsidR="008646E5" w:rsidRDefault="008646E5" w:rsidP="008646E5">
      <w:pPr>
        <w:pStyle w:val="Pardfaut"/>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jc w:val="both"/>
        <w:rPr>
          <w:rFonts w:ascii="Calibri" w:hAnsi="Calibri"/>
          <w:sz w:val="24"/>
          <w:szCs w:val="24"/>
        </w:rPr>
      </w:pPr>
    </w:p>
    <w:p w14:paraId="57B032D4" w14:textId="7F22AC0D" w:rsidR="008646E5" w:rsidRPr="009B30B3" w:rsidRDefault="008646E5" w:rsidP="008646E5">
      <w:pPr>
        <w:pStyle w:val="Corps"/>
        <w:ind w:right="-149"/>
        <w:jc w:val="both"/>
        <w:rPr>
          <w:rFonts w:ascii="Calibri" w:hAnsi="Calibri"/>
          <w:b/>
          <w:bCs/>
        </w:rPr>
      </w:pPr>
      <w:r>
        <w:rPr>
          <w:rFonts w:ascii="Calibri" w:hAnsi="Calibri"/>
        </w:rPr>
        <w:t xml:space="preserve">POUR : </w:t>
      </w:r>
      <w:r w:rsidR="009B30B3" w:rsidRPr="009B30B3">
        <w:rPr>
          <w:rFonts w:ascii="Calibri" w:hAnsi="Calibri"/>
          <w:b/>
          <w:bCs/>
        </w:rPr>
        <w:t>22 (13 CGT, 4 CFE-CGC, 3 UNSA, 1 FO, 1 sans étiquette)</w:t>
      </w:r>
    </w:p>
    <w:p w14:paraId="1D9AD179" w14:textId="702F6136" w:rsidR="008646E5" w:rsidRDefault="008646E5" w:rsidP="008646E5">
      <w:pPr>
        <w:pStyle w:val="Corps"/>
        <w:ind w:right="-149"/>
        <w:jc w:val="both"/>
        <w:rPr>
          <w:rFonts w:ascii="Calibri" w:eastAsia="Calibri" w:hAnsi="Calibri" w:cs="Calibri"/>
        </w:rPr>
      </w:pPr>
      <w:r>
        <w:rPr>
          <w:rFonts w:ascii="Calibri" w:hAnsi="Calibri"/>
          <w:lang w:val="de-DE"/>
        </w:rPr>
        <w:t>CONTRE</w:t>
      </w:r>
      <w:r>
        <w:rPr>
          <w:rFonts w:ascii="Calibri" w:hAnsi="Calibri"/>
        </w:rPr>
        <w:t> :</w:t>
      </w:r>
      <w:r>
        <w:rPr>
          <w:rFonts w:ascii="Calibri" w:hAnsi="Calibri"/>
          <w:b/>
          <w:bCs/>
        </w:rPr>
        <w:t xml:space="preserve"> </w:t>
      </w:r>
      <w:r w:rsidR="009B30B3">
        <w:rPr>
          <w:rFonts w:ascii="Calibri" w:hAnsi="Calibri"/>
          <w:b/>
          <w:bCs/>
        </w:rPr>
        <w:t>0</w:t>
      </w:r>
    </w:p>
    <w:p w14:paraId="5762DC5B" w14:textId="7F74EC09" w:rsidR="008646E5" w:rsidRDefault="008646E5" w:rsidP="008646E5">
      <w:pPr>
        <w:pStyle w:val="Corps"/>
        <w:ind w:right="-149"/>
        <w:jc w:val="both"/>
        <w:rPr>
          <w:rFonts w:ascii="Calibri" w:hAnsi="Calibri"/>
          <w:b/>
        </w:rPr>
      </w:pPr>
      <w:r>
        <w:rPr>
          <w:rFonts w:ascii="Calibri" w:hAnsi="Calibri"/>
        </w:rPr>
        <w:t>ABSTENTION :</w:t>
      </w:r>
      <w:r w:rsidR="009B30B3">
        <w:rPr>
          <w:rFonts w:ascii="Calibri" w:hAnsi="Calibri"/>
        </w:rPr>
        <w:t xml:space="preserve"> </w:t>
      </w:r>
      <w:r w:rsidR="009B30B3" w:rsidRPr="009B30B3">
        <w:rPr>
          <w:rFonts w:ascii="Calibri" w:hAnsi="Calibri"/>
          <w:b/>
          <w:bCs/>
        </w:rPr>
        <w:t>0</w:t>
      </w:r>
      <w:r>
        <w:rPr>
          <w:rFonts w:ascii="Calibri" w:hAnsi="Calibri"/>
        </w:rPr>
        <w:t xml:space="preserve">  </w:t>
      </w:r>
    </w:p>
    <w:p w14:paraId="06AC8141" w14:textId="77777777" w:rsidR="008646E5" w:rsidRDefault="008646E5" w:rsidP="008646E5">
      <w:pPr>
        <w:pStyle w:val="Corps"/>
        <w:ind w:right="-149"/>
        <w:jc w:val="both"/>
      </w:pPr>
    </w:p>
    <w:sectPr w:rsidR="008646E5" w:rsidSect="00A11DDD">
      <w:headerReference w:type="default" r:id="rId9"/>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3E5B3CF" w14:textId="77777777" w:rsidR="005837D0" w:rsidRDefault="005837D0" w:rsidP="00E07C80">
      <w:r>
        <w:separator/>
      </w:r>
    </w:p>
  </w:endnote>
  <w:endnote w:type="continuationSeparator" w:id="0">
    <w:p w14:paraId="4A96AD79" w14:textId="77777777" w:rsidR="005837D0" w:rsidRDefault="005837D0" w:rsidP="00E07C8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ucida Grande">
    <w:altName w:val="Segoe UI"/>
    <w:charset w:val="00"/>
    <w:family w:val="auto"/>
    <w:pitch w:val="variable"/>
    <w:sig w:usb0="00000003" w:usb1="00000000" w:usb2="00000000" w:usb3="00000000" w:csb0="00000001" w:csb1="00000000"/>
  </w:font>
  <w:font w:name="Helvetica Neue">
    <w:altName w:val="Sylfaen"/>
    <w:charset w:val="00"/>
    <w:family w:val="roman"/>
    <w:pitch w:val="default"/>
  </w:font>
  <w:font w:name="Arial Unicode MS">
    <w:panose1 w:val="020B0604020202020204"/>
    <w:charset w:val="00"/>
    <w:family w:val="roman"/>
    <w:notTrueType/>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7516390"/>
      <w:docPartObj>
        <w:docPartGallery w:val="Page Numbers (Bottom of Page)"/>
        <w:docPartUnique/>
      </w:docPartObj>
    </w:sdtPr>
    <w:sdtEndPr/>
    <w:sdtContent>
      <w:p w14:paraId="544831C4" w14:textId="371AA261" w:rsidR="009E33A0" w:rsidRDefault="009E33A0">
        <w:pPr>
          <w:pStyle w:val="Pieddepage"/>
          <w:jc w:val="right"/>
        </w:pPr>
        <w:r>
          <w:fldChar w:fldCharType="begin"/>
        </w:r>
        <w:r>
          <w:instrText>PAGE   \* MERGEFORMAT</w:instrText>
        </w:r>
        <w:r>
          <w:fldChar w:fldCharType="separate"/>
        </w:r>
        <w:r w:rsidR="001D117E">
          <w:rPr>
            <w:noProof/>
          </w:rPr>
          <w:t>1</w:t>
        </w:r>
        <w:r>
          <w:fldChar w:fldCharType="end"/>
        </w:r>
        <w:r w:rsidR="00F40F6F">
          <w:t>/</w:t>
        </w:r>
        <w:r w:rsidR="00753122">
          <w:t>4</w:t>
        </w:r>
      </w:p>
    </w:sdtContent>
  </w:sdt>
  <w:p w14:paraId="70AA1553" w14:textId="77777777" w:rsidR="009E33A0" w:rsidRDefault="009E33A0">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A52826" w14:textId="77777777" w:rsidR="005837D0" w:rsidRDefault="005837D0" w:rsidP="00E07C80">
      <w:r>
        <w:separator/>
      </w:r>
    </w:p>
  </w:footnote>
  <w:footnote w:type="continuationSeparator" w:id="0">
    <w:p w14:paraId="34B81BAB" w14:textId="77777777" w:rsidR="005837D0" w:rsidRDefault="005837D0" w:rsidP="00E07C8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F6E8093" w14:textId="67B24A4C" w:rsidR="00E07C80" w:rsidRDefault="00837ED4">
    <w:pPr>
      <w:pStyle w:val="En-tte"/>
    </w:pPr>
    <w:r>
      <w:rPr>
        <w:noProof/>
        <w:lang w:eastAsia="fr-FR"/>
      </w:rPr>
      <mc:AlternateContent>
        <mc:Choice Requires="wps">
          <w:drawing>
            <wp:anchor distT="45720" distB="45720" distL="114300" distR="114300" simplePos="0" relativeHeight="251659264" behindDoc="0" locked="0" layoutInCell="1" allowOverlap="1" wp14:anchorId="2E6C4D9A" wp14:editId="1568F524">
              <wp:simplePos x="0" y="0"/>
              <wp:positionH relativeFrom="column">
                <wp:posOffset>3451225</wp:posOffset>
              </wp:positionH>
              <wp:positionV relativeFrom="paragraph">
                <wp:posOffset>83820</wp:posOffset>
              </wp:positionV>
              <wp:extent cx="2674620" cy="480060"/>
              <wp:effectExtent l="0" t="0" r="11430" b="15240"/>
              <wp:wrapSquare wrapText="bothSides"/>
              <wp:docPr id="217"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4620" cy="480060"/>
                      </a:xfrm>
                      <a:prstGeom prst="rect">
                        <a:avLst/>
                      </a:prstGeom>
                      <a:solidFill>
                        <a:srgbClr val="FFFFFF"/>
                      </a:solidFill>
                      <a:ln w="9525">
                        <a:solidFill>
                          <a:srgbClr val="000000"/>
                        </a:solidFill>
                        <a:miter lim="800000"/>
                        <a:headEnd/>
                        <a:tailEnd/>
                      </a:ln>
                    </wps:spPr>
                    <wps:txbx>
                      <w:txbxContent>
                        <w:p w14:paraId="28585A3F" w14:textId="77777777" w:rsidR="00837ED4" w:rsidRDefault="0042662D">
                          <w:r>
                            <w:t xml:space="preserve">Séance </w:t>
                          </w:r>
                          <w:r w:rsidR="00C648AB">
                            <w:t xml:space="preserve">du </w:t>
                          </w:r>
                          <w:r>
                            <w:t>CS</w:t>
                          </w:r>
                          <w:r w:rsidR="00837ED4">
                            <w:t>E RATP INFRASTRUCTURES</w:t>
                          </w:r>
                        </w:p>
                        <w:p w14:paraId="7DA79685" w14:textId="679794DC" w:rsidR="0042662D" w:rsidRDefault="00837ED4">
                          <w:r>
                            <w:t xml:space="preserve">                       </w:t>
                          </w:r>
                          <w:r w:rsidR="00CC6D67">
                            <w:t xml:space="preserve">  </w:t>
                          </w:r>
                          <w:r w:rsidR="008E42E0">
                            <w:t xml:space="preserve">16 juin </w:t>
                          </w:r>
                          <w:r>
                            <w:t>202</w:t>
                          </w:r>
                          <w:r w:rsidR="00F03DA1">
                            <w:t>2</w:t>
                          </w:r>
                          <w:r>
                            <w:t xml:space="preserve"> </w:t>
                          </w:r>
                          <w:r w:rsidR="0076698A">
                            <w:t xml:space="preserve"> </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E6C4D9A" id="_x0000_t202" coordsize="21600,21600" o:spt="202" path="m,l,21600r21600,l21600,xe">
              <v:stroke joinstyle="miter"/>
              <v:path gradientshapeok="t" o:connecttype="rect"/>
            </v:shapetype>
            <v:shape id="Zone de texte 2" o:spid="_x0000_s1026" type="#_x0000_t202" style="position:absolute;margin-left:271.75pt;margin-top:6.6pt;width:210.6pt;height:37.8pt;z-index:2516592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IeN9EAIAAB8EAAAOAAAAZHJzL2Uyb0RvYy54bWysk92O2yAQhe8r9R0Q942dKMnuWnFW22xT&#10;Vdr+SNs+AMY4RsUMHUjs9Ok74Gw22rY3VblA4MGHmW8Oq9uhM+yg0GuwJZ9Ocs6UlVBruyv5t6/b&#10;N9ec+SBsLQxYVfKj8vx2/frVqneFmkELplbISMT6onclb0NwRZZ52apO+Ak4ZSnYAHYi0BZ3WY2i&#10;J/XOZLM8X2Y9YO0QpPKevt6PQb5O+k2jZPjcNF4FZkpOuYU0Y5qrOGfrlSh2KFyr5SkN8Q9ZdEJb&#10;uvQsdS+CYHvUv0l1WiJ4aMJEQpdB02ipUg1UzTR/Uc1jK5xKtRAc786Y/P+TlZ8Oj+4LsjC8hYEa&#10;mIrw7gHkd88sbFphd+oOEfpWiZounkZkWe98cfo1ovaFjyJV/xFqarLYB0hCQ4NdpEJ1MlKnBhzP&#10;0NUQmKSPs+XVfDmjkKTY/Jp6mrqSieLpb4c+vFfQsbgoOVJTk7o4PPgQsxHF05F4mQej6602Jm1w&#10;V20MsoMgA2zTSAW8OGYs60t+s5gtRgB/lcjT+JNEpwM52eiu5FQEjdFbEds7WyefBaHNuKaUjT1x&#10;jOhGiGGoBjoYeVZQH4kowuhYemG0aAF/ctaTW0vuf+wFKs7MB0tduZnO59HeaTNfXEWeeBmpLiPC&#10;SpIqeeBsXG5CehIRmIU76l6jE9jnTE65kgsT79OLiTa/3KdTz+96/QsAAP//AwBQSwMEFAAGAAgA&#10;AAAhAIWK+RrfAAAACQEAAA8AAABkcnMvZG93bnJldi54bWxMj8FOwzAQRO9I/IO1SFxQ69CkaRri&#10;VAgJRG/QIri6sZtE2Otgu2n4e5YTHFczevO22kzWsFH70DsUcDtPgGlsnOqxFfC2f5wVwEKUqKRx&#10;qAV86wCb+vKikqVyZ3zV4y62jCAYSimgi3EoOQ9Np60MczdopOzovJWRTt9y5eWZ4NbwRZLk3Moe&#10;aaGTg37odPO5O1kBRfY8foRt+vLe5Eezjjer8enLC3F9Nd3fAYt6in9l+NUndajJ6eBOqAIzApZZ&#10;uqQqBekCGBXWebYCdiB6UQCvK/7/g/oHAAD//wMAUEsBAi0AFAAGAAgAAAAhALaDOJL+AAAA4QEA&#10;ABMAAAAAAAAAAAAAAAAAAAAAAFtDb250ZW50X1R5cGVzXS54bWxQSwECLQAUAAYACAAAACEAOP0h&#10;/9YAAACUAQAACwAAAAAAAAAAAAAAAAAvAQAAX3JlbHMvLnJlbHNQSwECLQAUAAYACAAAACEAViHj&#10;fRACAAAfBAAADgAAAAAAAAAAAAAAAAAuAgAAZHJzL2Uyb0RvYy54bWxQSwECLQAUAAYACAAAACEA&#10;hYr5Gt8AAAAJAQAADwAAAAAAAAAAAAAAAABqBAAAZHJzL2Rvd25yZXYueG1sUEsFBgAAAAAEAAQA&#10;8wAAAHYFAAAAAA==&#10;">
              <v:textbox>
                <w:txbxContent>
                  <w:p w14:paraId="28585A3F" w14:textId="77777777" w:rsidR="00837ED4" w:rsidRDefault="0042662D">
                    <w:r>
                      <w:t xml:space="preserve">Séance </w:t>
                    </w:r>
                    <w:r w:rsidR="00C648AB">
                      <w:t xml:space="preserve">du </w:t>
                    </w:r>
                    <w:r>
                      <w:t>CS</w:t>
                    </w:r>
                    <w:r w:rsidR="00837ED4">
                      <w:t>E RATP INFRASTRUCTURES</w:t>
                    </w:r>
                  </w:p>
                  <w:p w14:paraId="7DA79685" w14:textId="679794DC" w:rsidR="0042662D" w:rsidRDefault="00837ED4">
                    <w:r>
                      <w:t xml:space="preserve">                       </w:t>
                    </w:r>
                    <w:r w:rsidR="00CC6D67">
                      <w:t xml:space="preserve">  </w:t>
                    </w:r>
                    <w:r w:rsidR="008E42E0">
                      <w:t xml:space="preserve">16 juin </w:t>
                    </w:r>
                    <w:r>
                      <w:t>202</w:t>
                    </w:r>
                    <w:r w:rsidR="00F03DA1">
                      <w:t>2</w:t>
                    </w:r>
                    <w:r>
                      <w:t xml:space="preserve"> </w:t>
                    </w:r>
                    <w:r w:rsidR="0076698A">
                      <w:t xml:space="preserve"> </w:t>
                    </w:r>
                  </w:p>
                </w:txbxContent>
              </v:textbox>
              <w10:wrap type="square"/>
            </v:shape>
          </w:pict>
        </mc:Fallback>
      </mc:AlternateContent>
    </w:r>
    <w:r w:rsidR="004E4BBB">
      <w:rPr>
        <w:noProof/>
        <w:lang w:eastAsia="fr-FR"/>
      </w:rPr>
      <w:drawing>
        <wp:inline distT="0" distB="0" distL="0" distR="0" wp14:anchorId="25C95253" wp14:editId="01115F9F">
          <wp:extent cx="2128817" cy="610312"/>
          <wp:effectExtent l="0" t="0" r="508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seGDI_Logo.jpg"/>
                  <pic:cNvPicPr/>
                </pic:nvPicPr>
                <pic:blipFill>
                  <a:blip r:embed="rId1">
                    <a:extLst>
                      <a:ext uri="{28A0092B-C50C-407E-A947-70E740481C1C}">
                        <a14:useLocalDpi xmlns:a14="http://schemas.microsoft.com/office/drawing/2010/main" val="0"/>
                      </a:ext>
                    </a:extLst>
                  </a:blip>
                  <a:stretch>
                    <a:fillRect/>
                  </a:stretch>
                </pic:blipFill>
                <pic:spPr>
                  <a:xfrm>
                    <a:off x="0" y="0"/>
                    <a:ext cx="2128817" cy="610312"/>
                  </a:xfrm>
                  <a:prstGeom prst="rect">
                    <a:avLst/>
                  </a:prstGeom>
                </pic:spPr>
              </pic:pic>
            </a:graphicData>
          </a:graphic>
        </wp:inline>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1ACC5A" w14:textId="77777777" w:rsidR="00CD5D18" w:rsidRDefault="00CD5D18">
    <w:pPr>
      <w:pStyle w:val="En-tte"/>
    </w:pPr>
    <w:r>
      <w:rPr>
        <w:noProof/>
        <w:lang w:eastAsia="fr-FR"/>
      </w:rPr>
      <mc:AlternateContent>
        <mc:Choice Requires="wps">
          <w:drawing>
            <wp:anchor distT="45720" distB="45720" distL="114300" distR="114300" simplePos="0" relativeHeight="251661312" behindDoc="0" locked="0" layoutInCell="1" allowOverlap="1" wp14:anchorId="2672C843" wp14:editId="7628CE48">
              <wp:simplePos x="0" y="0"/>
              <wp:positionH relativeFrom="column">
                <wp:posOffset>3504565</wp:posOffset>
              </wp:positionH>
              <wp:positionV relativeFrom="paragraph">
                <wp:posOffset>-114300</wp:posOffset>
              </wp:positionV>
              <wp:extent cx="2667000" cy="480060"/>
              <wp:effectExtent l="0" t="0" r="19050" b="15240"/>
              <wp:wrapSquare wrapText="bothSides"/>
              <wp:docPr id="2" name="Zone de texte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67000" cy="480060"/>
                      </a:xfrm>
                      <a:prstGeom prst="rect">
                        <a:avLst/>
                      </a:prstGeom>
                      <a:solidFill>
                        <a:srgbClr val="FFFFFF"/>
                      </a:solidFill>
                      <a:ln w="9525">
                        <a:solidFill>
                          <a:srgbClr val="000000"/>
                        </a:solidFill>
                        <a:miter lim="800000"/>
                        <a:headEnd/>
                        <a:tailEnd/>
                      </a:ln>
                    </wps:spPr>
                    <wps:txb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03DB692C" w:rsidR="00837ED4" w:rsidRDefault="00837ED4">
                          <w:r>
                            <w:t xml:space="preserve">                         </w:t>
                          </w:r>
                          <w:r w:rsidR="00F9274E">
                            <w:t>16 juin</w:t>
                          </w:r>
                          <w:r>
                            <w:t xml:space="preserve"> 202</w:t>
                          </w:r>
                          <w:r w:rsidR="00F03DA1">
                            <w:t>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2672C843" id="_x0000_t202" coordsize="21600,21600" o:spt="202" path="m,l,21600r21600,l21600,xe">
              <v:stroke joinstyle="miter"/>
              <v:path gradientshapeok="t" o:connecttype="rect"/>
            </v:shapetype>
            <v:shape id="_x0000_s1027" type="#_x0000_t202" style="position:absolute;margin-left:275.95pt;margin-top:-9pt;width:210pt;height:37.8pt;z-index:2516613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gRRJFgIAACYEAAAOAAAAZHJzL2Uyb0RvYy54bWysU9tu2zAMfR+wfxD0vtgJkrQ14hRdugwD&#10;ugvQ7QMUWY6FyaJGKbGzrx8lu2nWYS/D/CCIJnV4eEiubvvWsKNCr8GWfDrJOVNWQqXtvuTfvm7f&#10;XHPmg7CVMGBVyU/K89v161erzhVqBg2YSiEjEOuLzpW8CcEVWeZlo1rhJ+CUJWcN2IpAJu6zCkVH&#10;6K3JZnm+zDrAyiFI5T39vR+cfJ3w61rJ8LmuvQrMlJy4hXRiOnfxzNYrUexRuEbLkYb4Bxat0JaS&#10;nqHuRRDsgPoPqFZLBA91mEhoM6hrLVWqgaqZ5i+qeWyEU6kWEse7s0z+/8HKT8dH9wVZ6N9CTw1M&#10;RXj3APK7ZxY2jbB7dYcIXaNERYmnUbKsc74Yn0apfeEjyK77CBU1WRwCJKC+xjaqQnUyQqcGnM6i&#10;qz4wST9ny+VVnpNLkm9+TT1NXclE8fTaoQ/vFbQsXkqO1NSELo4PPkQ2ongKick8GF1ttTHJwP1u&#10;Y5AdBQ3ANn2pgBdhxrKu5DeL2WIQ4K8QxDSSHbL+lqnVgSbZ6LbkVMQYJIoo2ztbpTkLQpvhTpSN&#10;HXWM0g0ihn7XM12NIkdZd1CdSFiEYXBp0ejSAP7krKOhLbn/cRCoODMfLDXnZjqfxylPxnxxNSMD&#10;Lz27S4+wkqBKHjgbrpuQNiPqZuGOmljrpO8zk5EyDWOSfVycOO2Xdop6Xu/1LwAAAP//AwBQSwME&#10;FAAGAAgAAAAhAIkXqzjfAAAACgEAAA8AAABkcnMvZG93bnJldi54bWxMj81OwzAQhO9IvIO1SFxQ&#10;6wRo/ohTISQQvUFBcHVjN4mw18F20/D2bE9w3JlPszP1eraGTdqHwaGAdJkA09g6NWAn4P3tcVEA&#10;C1GiksahFvCjA6yb87NaVsod8VVP29gxCsFQSQF9jGPFeWh7bWVYulEjeXvnrYx0+o4rL48Ubg2/&#10;TpKMWzkgfejlqB963X5tD1ZAcfs8fYbNzctHm+1NGa/y6enbC3F5Md/fAYt6jn8wnOpTdWio084d&#10;UAVmBKxWaUmogEVa0Cgiyvyk7MjKM+BNzf9PaH4BAAD//wMAUEsBAi0AFAAGAAgAAAAhALaDOJL+&#10;AAAA4QEAABMAAAAAAAAAAAAAAAAAAAAAAFtDb250ZW50X1R5cGVzXS54bWxQSwECLQAUAAYACAAA&#10;ACEAOP0h/9YAAACUAQAACwAAAAAAAAAAAAAAAAAvAQAAX3JlbHMvLnJlbHNQSwECLQAUAAYACAAA&#10;ACEA/IEUSRYCAAAmBAAADgAAAAAAAAAAAAAAAAAuAgAAZHJzL2Uyb0RvYy54bWxQSwECLQAUAAYA&#10;CAAAACEAiRerON8AAAAKAQAADwAAAAAAAAAAAAAAAABwBAAAZHJzL2Rvd25yZXYueG1sUEsFBgAA&#10;AAAEAAQA8wAAAHwFAAAAAA==&#10;">
              <v:textbox>
                <w:txbxContent>
                  <w:p w14:paraId="2270E216" w14:textId="47FF2EC0" w:rsidR="00CD5D18" w:rsidRDefault="00CD5D18">
                    <w:r>
                      <w:t xml:space="preserve">Séance </w:t>
                    </w:r>
                    <w:r w:rsidR="00C648AB">
                      <w:t xml:space="preserve">du </w:t>
                    </w:r>
                    <w:r>
                      <w:t>CS</w:t>
                    </w:r>
                    <w:r w:rsidR="00837ED4">
                      <w:t>E RATP INFRASTRUCTURES</w:t>
                    </w:r>
                    <w:r w:rsidR="0076698A">
                      <w:t xml:space="preserve"> </w:t>
                    </w:r>
                  </w:p>
                  <w:p w14:paraId="23B146FB" w14:textId="03DB692C" w:rsidR="00837ED4" w:rsidRDefault="00837ED4">
                    <w:r>
                      <w:t xml:space="preserve">                         </w:t>
                    </w:r>
                    <w:r w:rsidR="00F9274E">
                      <w:t>16 juin</w:t>
                    </w:r>
                    <w:r>
                      <w:t xml:space="preserve"> 202</w:t>
                    </w:r>
                    <w:r w:rsidR="00F03DA1">
                      <w:t>2</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9323D91"/>
    <w:multiLevelType w:val="hybridMultilevel"/>
    <w:tmpl w:val="3D9843B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1D3B17BC"/>
    <w:multiLevelType w:val="hybridMultilevel"/>
    <w:tmpl w:val="554E118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2082418A"/>
    <w:multiLevelType w:val="hybridMultilevel"/>
    <w:tmpl w:val="24C03C5A"/>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46584F66"/>
    <w:multiLevelType w:val="hybridMultilevel"/>
    <w:tmpl w:val="66DEDDF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4" w15:restartNumberingAfterBreak="0">
    <w:nsid w:val="53495CCC"/>
    <w:multiLevelType w:val="hybridMultilevel"/>
    <w:tmpl w:val="B1D25090"/>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55D23204"/>
    <w:multiLevelType w:val="hybridMultilevel"/>
    <w:tmpl w:val="0E4AB318"/>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6" w15:restartNumberingAfterBreak="0">
    <w:nsid w:val="63E468D4"/>
    <w:multiLevelType w:val="hybridMultilevel"/>
    <w:tmpl w:val="D194D8CC"/>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6BF86338"/>
    <w:multiLevelType w:val="hybridMultilevel"/>
    <w:tmpl w:val="41887C3E"/>
    <w:lvl w:ilvl="0" w:tplc="040C000D">
      <w:start w:val="1"/>
      <w:numFmt w:val="bullet"/>
      <w:lvlText w:val=""/>
      <w:lvlJc w:val="left"/>
      <w:pPr>
        <w:ind w:left="720" w:hanging="360"/>
      </w:pPr>
      <w:rPr>
        <w:rFonts w:ascii="Wingdings" w:hAnsi="Wingdings"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154681676">
    <w:abstractNumId w:val="1"/>
  </w:num>
  <w:num w:numId="2" w16cid:durableId="137919030">
    <w:abstractNumId w:val="7"/>
  </w:num>
  <w:num w:numId="3" w16cid:durableId="1928804207">
    <w:abstractNumId w:val="5"/>
  </w:num>
  <w:num w:numId="4" w16cid:durableId="1574656413">
    <w:abstractNumId w:val="4"/>
  </w:num>
  <w:num w:numId="5" w16cid:durableId="855191938">
    <w:abstractNumId w:val="2"/>
  </w:num>
  <w:num w:numId="6" w16cid:durableId="1872188312">
    <w:abstractNumId w:val="6"/>
  </w:num>
  <w:num w:numId="7" w16cid:durableId="1170409570">
    <w:abstractNumId w:val="3"/>
  </w:num>
  <w:num w:numId="8" w16cid:durableId="141022499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E2D12"/>
    <w:rsid w:val="000028AF"/>
    <w:rsid w:val="00004734"/>
    <w:rsid w:val="00031EE1"/>
    <w:rsid w:val="00050702"/>
    <w:rsid w:val="00052374"/>
    <w:rsid w:val="00056E9D"/>
    <w:rsid w:val="0008056B"/>
    <w:rsid w:val="00083431"/>
    <w:rsid w:val="000901B7"/>
    <w:rsid w:val="0009419A"/>
    <w:rsid w:val="000A7FD3"/>
    <w:rsid w:val="000B78DB"/>
    <w:rsid w:val="000C0576"/>
    <w:rsid w:val="000D02F7"/>
    <w:rsid w:val="000D570B"/>
    <w:rsid w:val="000F4941"/>
    <w:rsid w:val="000F6343"/>
    <w:rsid w:val="00107A7B"/>
    <w:rsid w:val="00113B84"/>
    <w:rsid w:val="00125A32"/>
    <w:rsid w:val="00126DC7"/>
    <w:rsid w:val="001332F6"/>
    <w:rsid w:val="00134FC2"/>
    <w:rsid w:val="0019248B"/>
    <w:rsid w:val="00195674"/>
    <w:rsid w:val="001A4EEB"/>
    <w:rsid w:val="001D117E"/>
    <w:rsid w:val="001E5CD5"/>
    <w:rsid w:val="001F255F"/>
    <w:rsid w:val="00202B20"/>
    <w:rsid w:val="002044A1"/>
    <w:rsid w:val="0022465C"/>
    <w:rsid w:val="00234EC0"/>
    <w:rsid w:val="0024418D"/>
    <w:rsid w:val="00250C44"/>
    <w:rsid w:val="00255633"/>
    <w:rsid w:val="00267A59"/>
    <w:rsid w:val="002B1532"/>
    <w:rsid w:val="002B650F"/>
    <w:rsid w:val="002D189E"/>
    <w:rsid w:val="002E26ED"/>
    <w:rsid w:val="002E51F0"/>
    <w:rsid w:val="002F1ED8"/>
    <w:rsid w:val="002F30D5"/>
    <w:rsid w:val="00306EDA"/>
    <w:rsid w:val="00307BDF"/>
    <w:rsid w:val="003209BD"/>
    <w:rsid w:val="003258FE"/>
    <w:rsid w:val="0033334B"/>
    <w:rsid w:val="003408EF"/>
    <w:rsid w:val="00341F8A"/>
    <w:rsid w:val="003552E5"/>
    <w:rsid w:val="00366D46"/>
    <w:rsid w:val="00370CAD"/>
    <w:rsid w:val="003B5784"/>
    <w:rsid w:val="003C0DD1"/>
    <w:rsid w:val="003E18E1"/>
    <w:rsid w:val="003F2920"/>
    <w:rsid w:val="0042662D"/>
    <w:rsid w:val="00430C8E"/>
    <w:rsid w:val="0043137F"/>
    <w:rsid w:val="00445FCF"/>
    <w:rsid w:val="004502C0"/>
    <w:rsid w:val="00481939"/>
    <w:rsid w:val="00481B9B"/>
    <w:rsid w:val="00487578"/>
    <w:rsid w:val="004A4954"/>
    <w:rsid w:val="004B6134"/>
    <w:rsid w:val="004D7951"/>
    <w:rsid w:val="004E4BBB"/>
    <w:rsid w:val="00511419"/>
    <w:rsid w:val="005118A0"/>
    <w:rsid w:val="005154DE"/>
    <w:rsid w:val="00526B47"/>
    <w:rsid w:val="00527083"/>
    <w:rsid w:val="00531138"/>
    <w:rsid w:val="00537C22"/>
    <w:rsid w:val="00542A3F"/>
    <w:rsid w:val="00544C5C"/>
    <w:rsid w:val="005837D0"/>
    <w:rsid w:val="005A08CD"/>
    <w:rsid w:val="005A370D"/>
    <w:rsid w:val="005C0175"/>
    <w:rsid w:val="005D4573"/>
    <w:rsid w:val="005E2A22"/>
    <w:rsid w:val="005F445F"/>
    <w:rsid w:val="00617BCC"/>
    <w:rsid w:val="006201B5"/>
    <w:rsid w:val="00643237"/>
    <w:rsid w:val="006624C7"/>
    <w:rsid w:val="00663B40"/>
    <w:rsid w:val="00670277"/>
    <w:rsid w:val="00691633"/>
    <w:rsid w:val="0069465A"/>
    <w:rsid w:val="00695EE9"/>
    <w:rsid w:val="006C19F6"/>
    <w:rsid w:val="006C3096"/>
    <w:rsid w:val="006D7A9A"/>
    <w:rsid w:val="006E4E57"/>
    <w:rsid w:val="006E7978"/>
    <w:rsid w:val="006E7D3B"/>
    <w:rsid w:val="00707105"/>
    <w:rsid w:val="007232B9"/>
    <w:rsid w:val="00734E87"/>
    <w:rsid w:val="00735B7D"/>
    <w:rsid w:val="007474A7"/>
    <w:rsid w:val="007478FD"/>
    <w:rsid w:val="00750E20"/>
    <w:rsid w:val="00753122"/>
    <w:rsid w:val="0076698A"/>
    <w:rsid w:val="007705AC"/>
    <w:rsid w:val="00771F8B"/>
    <w:rsid w:val="007A4A32"/>
    <w:rsid w:val="007A6628"/>
    <w:rsid w:val="007A7314"/>
    <w:rsid w:val="007B5520"/>
    <w:rsid w:val="007B7EE9"/>
    <w:rsid w:val="007C38B6"/>
    <w:rsid w:val="007E1961"/>
    <w:rsid w:val="007E3349"/>
    <w:rsid w:val="007E36BF"/>
    <w:rsid w:val="00806BD3"/>
    <w:rsid w:val="00812EBD"/>
    <w:rsid w:val="00826C94"/>
    <w:rsid w:val="00837ED4"/>
    <w:rsid w:val="00844DB2"/>
    <w:rsid w:val="0085115B"/>
    <w:rsid w:val="008646E5"/>
    <w:rsid w:val="00870C58"/>
    <w:rsid w:val="00885B91"/>
    <w:rsid w:val="008970AF"/>
    <w:rsid w:val="008A41B7"/>
    <w:rsid w:val="008B514C"/>
    <w:rsid w:val="008D01D6"/>
    <w:rsid w:val="008D076E"/>
    <w:rsid w:val="008D14D1"/>
    <w:rsid w:val="008E42E0"/>
    <w:rsid w:val="0090485A"/>
    <w:rsid w:val="00914C2B"/>
    <w:rsid w:val="00917CFF"/>
    <w:rsid w:val="009274CF"/>
    <w:rsid w:val="009300AE"/>
    <w:rsid w:val="0094168D"/>
    <w:rsid w:val="009552B2"/>
    <w:rsid w:val="00962408"/>
    <w:rsid w:val="00982F22"/>
    <w:rsid w:val="00992AA0"/>
    <w:rsid w:val="009937A3"/>
    <w:rsid w:val="00996692"/>
    <w:rsid w:val="009B30B3"/>
    <w:rsid w:val="009B3F3E"/>
    <w:rsid w:val="009B47E7"/>
    <w:rsid w:val="009D33AB"/>
    <w:rsid w:val="009E33A0"/>
    <w:rsid w:val="009E4A9B"/>
    <w:rsid w:val="009F70A6"/>
    <w:rsid w:val="00A02947"/>
    <w:rsid w:val="00A04967"/>
    <w:rsid w:val="00A11DDD"/>
    <w:rsid w:val="00A13DC2"/>
    <w:rsid w:val="00A22DF3"/>
    <w:rsid w:val="00A711D1"/>
    <w:rsid w:val="00A743AB"/>
    <w:rsid w:val="00A75B9E"/>
    <w:rsid w:val="00A802C6"/>
    <w:rsid w:val="00A802D4"/>
    <w:rsid w:val="00A80B39"/>
    <w:rsid w:val="00A94C18"/>
    <w:rsid w:val="00AB295F"/>
    <w:rsid w:val="00AE2D12"/>
    <w:rsid w:val="00B026B4"/>
    <w:rsid w:val="00B070FA"/>
    <w:rsid w:val="00B10BD4"/>
    <w:rsid w:val="00B12D8A"/>
    <w:rsid w:val="00B34603"/>
    <w:rsid w:val="00B57F7F"/>
    <w:rsid w:val="00B95D4D"/>
    <w:rsid w:val="00BB6BC0"/>
    <w:rsid w:val="00BD605A"/>
    <w:rsid w:val="00BF0F07"/>
    <w:rsid w:val="00C0415D"/>
    <w:rsid w:val="00C152CF"/>
    <w:rsid w:val="00C20F2F"/>
    <w:rsid w:val="00C253E2"/>
    <w:rsid w:val="00C2663F"/>
    <w:rsid w:val="00C26DF8"/>
    <w:rsid w:val="00C30135"/>
    <w:rsid w:val="00C3611B"/>
    <w:rsid w:val="00C60F93"/>
    <w:rsid w:val="00C61F09"/>
    <w:rsid w:val="00C62AAC"/>
    <w:rsid w:val="00C648AB"/>
    <w:rsid w:val="00C76C11"/>
    <w:rsid w:val="00C821A1"/>
    <w:rsid w:val="00C8562A"/>
    <w:rsid w:val="00C868D9"/>
    <w:rsid w:val="00C904EA"/>
    <w:rsid w:val="00CA464C"/>
    <w:rsid w:val="00CB2BC1"/>
    <w:rsid w:val="00CC6D67"/>
    <w:rsid w:val="00CD55FC"/>
    <w:rsid w:val="00CD5D18"/>
    <w:rsid w:val="00CF3A80"/>
    <w:rsid w:val="00CF6FC0"/>
    <w:rsid w:val="00D22D13"/>
    <w:rsid w:val="00D236C7"/>
    <w:rsid w:val="00D277BE"/>
    <w:rsid w:val="00D42140"/>
    <w:rsid w:val="00D6200B"/>
    <w:rsid w:val="00D65E03"/>
    <w:rsid w:val="00D76B69"/>
    <w:rsid w:val="00D9625E"/>
    <w:rsid w:val="00DA2569"/>
    <w:rsid w:val="00DA2AC4"/>
    <w:rsid w:val="00DA5F99"/>
    <w:rsid w:val="00DC21C7"/>
    <w:rsid w:val="00DD2BA1"/>
    <w:rsid w:val="00DE201F"/>
    <w:rsid w:val="00DF322E"/>
    <w:rsid w:val="00E067E5"/>
    <w:rsid w:val="00E07C80"/>
    <w:rsid w:val="00E530AB"/>
    <w:rsid w:val="00E65125"/>
    <w:rsid w:val="00E77331"/>
    <w:rsid w:val="00E96C40"/>
    <w:rsid w:val="00EA78D0"/>
    <w:rsid w:val="00ED2A6D"/>
    <w:rsid w:val="00ED7547"/>
    <w:rsid w:val="00ED7672"/>
    <w:rsid w:val="00EF3111"/>
    <w:rsid w:val="00EF397D"/>
    <w:rsid w:val="00F03DA1"/>
    <w:rsid w:val="00F04499"/>
    <w:rsid w:val="00F11E3E"/>
    <w:rsid w:val="00F2265C"/>
    <w:rsid w:val="00F35C9F"/>
    <w:rsid w:val="00F40F6F"/>
    <w:rsid w:val="00F56C8A"/>
    <w:rsid w:val="00F60856"/>
    <w:rsid w:val="00F70B22"/>
    <w:rsid w:val="00F74B21"/>
    <w:rsid w:val="00F76D11"/>
    <w:rsid w:val="00F9274E"/>
    <w:rsid w:val="00FB1B8C"/>
    <w:rsid w:val="00FB3883"/>
    <w:rsid w:val="00FB59AC"/>
    <w:rsid w:val="00FC36C1"/>
    <w:rsid w:val="00FC78CC"/>
    <w:rsid w:val="00FC78F4"/>
    <w:rsid w:val="00FE0F41"/>
    <w:rsid w:val="00FE4AE6"/>
    <w:rsid w:val="00FF7E3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4BD61902"/>
  <w15:docId w15:val="{0B0B2C0B-E070-4D1E-8F46-C6E648E801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F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uiPriority w:val="99"/>
    <w:unhideWhenUsed/>
    <w:rsid w:val="00E07C80"/>
    <w:pPr>
      <w:tabs>
        <w:tab w:val="center" w:pos="4536"/>
        <w:tab w:val="right" w:pos="9072"/>
      </w:tabs>
    </w:pPr>
  </w:style>
  <w:style w:type="character" w:customStyle="1" w:styleId="En-tteCar">
    <w:name w:val="En-tête Car"/>
    <w:basedOn w:val="Policepardfaut"/>
    <w:link w:val="En-tte"/>
    <w:uiPriority w:val="99"/>
    <w:rsid w:val="00E07C80"/>
  </w:style>
  <w:style w:type="paragraph" w:styleId="Pieddepage">
    <w:name w:val="footer"/>
    <w:basedOn w:val="Normal"/>
    <w:link w:val="PieddepageCar"/>
    <w:uiPriority w:val="99"/>
    <w:unhideWhenUsed/>
    <w:rsid w:val="00E07C80"/>
    <w:pPr>
      <w:tabs>
        <w:tab w:val="center" w:pos="4536"/>
        <w:tab w:val="right" w:pos="9072"/>
      </w:tabs>
    </w:pPr>
  </w:style>
  <w:style w:type="character" w:customStyle="1" w:styleId="PieddepageCar">
    <w:name w:val="Pied de page Car"/>
    <w:basedOn w:val="Policepardfaut"/>
    <w:link w:val="Pieddepage"/>
    <w:uiPriority w:val="99"/>
    <w:rsid w:val="00E07C80"/>
  </w:style>
  <w:style w:type="paragraph" w:styleId="Textedebulles">
    <w:name w:val="Balloon Text"/>
    <w:basedOn w:val="Normal"/>
    <w:link w:val="TextedebullesCar"/>
    <w:uiPriority w:val="99"/>
    <w:semiHidden/>
    <w:unhideWhenUsed/>
    <w:rsid w:val="00AE2D12"/>
    <w:rPr>
      <w:rFonts w:ascii="Lucida Grande" w:hAnsi="Lucida Grande"/>
      <w:sz w:val="18"/>
      <w:szCs w:val="18"/>
    </w:rPr>
  </w:style>
  <w:style w:type="character" w:customStyle="1" w:styleId="TextedebullesCar">
    <w:name w:val="Texte de bulles Car"/>
    <w:basedOn w:val="Policepardfaut"/>
    <w:link w:val="Textedebulles"/>
    <w:uiPriority w:val="99"/>
    <w:semiHidden/>
    <w:rsid w:val="00AE2D12"/>
    <w:rPr>
      <w:rFonts w:ascii="Lucida Grande" w:hAnsi="Lucida Grande"/>
      <w:sz w:val="18"/>
      <w:szCs w:val="18"/>
    </w:rPr>
  </w:style>
  <w:style w:type="paragraph" w:customStyle="1" w:styleId="Corps">
    <w:name w:val="Corps"/>
    <w:rsid w:val="00FC36C1"/>
    <w:rPr>
      <w:rFonts w:ascii="Times New Roman" w:eastAsia="Times New Roman" w:hAnsi="Times New Roman" w:cs="Times New Roman"/>
      <w:color w:val="000000"/>
      <w:u w:color="000000"/>
      <w:lang w:eastAsia="fr-FR"/>
    </w:rPr>
  </w:style>
  <w:style w:type="paragraph" w:customStyle="1" w:styleId="Pardfaut">
    <w:name w:val="Par défaut"/>
    <w:rsid w:val="00FC36C1"/>
    <w:rPr>
      <w:rFonts w:ascii="Helvetica Neue" w:eastAsia="Arial Unicode MS" w:hAnsi="Helvetica Neue" w:cs="Arial Unicode MS"/>
      <w:color w:val="000000"/>
      <w:sz w:val="22"/>
      <w:szCs w:val="22"/>
      <w:lang w:eastAsia="fr-FR"/>
    </w:rPr>
  </w:style>
  <w:style w:type="paragraph" w:styleId="Paragraphedeliste">
    <w:name w:val="List Paragraph"/>
    <w:basedOn w:val="Normal"/>
    <w:uiPriority w:val="34"/>
    <w:qFormat/>
    <w:rsid w:val="000901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4338017">
      <w:bodyDiv w:val="1"/>
      <w:marLeft w:val="0"/>
      <w:marRight w:val="0"/>
      <w:marTop w:val="0"/>
      <w:marBottom w:val="0"/>
      <w:divBdr>
        <w:top w:val="none" w:sz="0" w:space="0" w:color="auto"/>
        <w:left w:val="none" w:sz="0" w:space="0" w:color="auto"/>
        <w:bottom w:val="none" w:sz="0" w:space="0" w:color="auto"/>
        <w:right w:val="none" w:sz="0" w:space="0" w:color="auto"/>
      </w:divBdr>
    </w:div>
    <w:div w:id="313336893">
      <w:bodyDiv w:val="1"/>
      <w:marLeft w:val="0"/>
      <w:marRight w:val="0"/>
      <w:marTop w:val="0"/>
      <w:marBottom w:val="0"/>
      <w:divBdr>
        <w:top w:val="none" w:sz="0" w:space="0" w:color="auto"/>
        <w:left w:val="none" w:sz="0" w:space="0" w:color="auto"/>
        <w:bottom w:val="none" w:sz="0" w:space="0" w:color="auto"/>
        <w:right w:val="none" w:sz="0" w:space="0" w:color="auto"/>
      </w:divBdr>
    </w:div>
    <w:div w:id="377319687">
      <w:bodyDiv w:val="1"/>
      <w:marLeft w:val="0"/>
      <w:marRight w:val="0"/>
      <w:marTop w:val="0"/>
      <w:marBottom w:val="0"/>
      <w:divBdr>
        <w:top w:val="none" w:sz="0" w:space="0" w:color="auto"/>
        <w:left w:val="none" w:sz="0" w:space="0" w:color="auto"/>
        <w:bottom w:val="none" w:sz="0" w:space="0" w:color="auto"/>
        <w:right w:val="none" w:sz="0" w:space="0" w:color="auto"/>
      </w:divBdr>
    </w:div>
    <w:div w:id="1095248341">
      <w:bodyDiv w:val="1"/>
      <w:marLeft w:val="0"/>
      <w:marRight w:val="0"/>
      <w:marTop w:val="0"/>
      <w:marBottom w:val="0"/>
      <w:divBdr>
        <w:top w:val="none" w:sz="0" w:space="0" w:color="auto"/>
        <w:left w:val="none" w:sz="0" w:space="0" w:color="auto"/>
        <w:bottom w:val="none" w:sz="0" w:space="0" w:color="auto"/>
        <w:right w:val="none" w:sz="0" w:space="0" w:color="auto"/>
      </w:divBdr>
    </w:div>
    <w:div w:id="1295216988">
      <w:bodyDiv w:val="1"/>
      <w:marLeft w:val="0"/>
      <w:marRight w:val="0"/>
      <w:marTop w:val="0"/>
      <w:marBottom w:val="0"/>
      <w:divBdr>
        <w:top w:val="none" w:sz="0" w:space="0" w:color="auto"/>
        <w:left w:val="none" w:sz="0" w:space="0" w:color="auto"/>
        <w:bottom w:val="none" w:sz="0" w:space="0" w:color="auto"/>
        <w:right w:val="none" w:sz="0" w:space="0" w:color="auto"/>
      </w:divBdr>
    </w:div>
    <w:div w:id="1444689181">
      <w:bodyDiv w:val="1"/>
      <w:marLeft w:val="0"/>
      <w:marRight w:val="0"/>
      <w:marTop w:val="0"/>
      <w:marBottom w:val="0"/>
      <w:divBdr>
        <w:top w:val="none" w:sz="0" w:space="0" w:color="auto"/>
        <w:left w:val="none" w:sz="0" w:space="0" w:color="auto"/>
        <w:bottom w:val="none" w:sz="0" w:space="0" w:color="auto"/>
        <w:right w:val="none" w:sz="0" w:space="0" w:color="auto"/>
      </w:divBdr>
    </w:div>
    <w:div w:id="20480261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1</Pages>
  <Words>1321</Words>
  <Characters>7266</Characters>
  <Application>Microsoft Office Word</Application>
  <DocSecurity>0</DocSecurity>
  <Lines>60</Lines>
  <Paragraphs>17</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8570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dc:creator>
  <cp:keywords/>
  <dc:description/>
  <cp:lastModifiedBy>sandrinefilhol@aliceadsl.fr</cp:lastModifiedBy>
  <cp:revision>19</cp:revision>
  <cp:lastPrinted>2019-03-26T12:22:00Z</cp:lastPrinted>
  <dcterms:created xsi:type="dcterms:W3CDTF">2022-06-10T07:21:00Z</dcterms:created>
  <dcterms:modified xsi:type="dcterms:W3CDTF">2022-06-17T06:45:00Z</dcterms:modified>
</cp:coreProperties>
</file>